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tabs>
          <w:tab w:val="left" w:pos="0"/>
        </w:tabs>
        <w:autoSpaceDE w:val="0"/>
        <w:autoSpaceDN w:val="0"/>
        <w:adjustRightInd w:val="0"/>
        <w:spacing w:before="0" w:after="0" w:line="360" w:lineRule="auto"/>
        <w:jc w:val="center"/>
        <w:rPr>
          <w:rFonts w:ascii="华文中宋" w:hAnsi="华文中宋" w:eastAsia="华文中宋"/>
        </w:rPr>
      </w:pPr>
      <w:bookmarkStart w:id="0" w:name="_Toc28359044"/>
      <w:bookmarkStart w:id="1" w:name="_Toc35393834"/>
      <w:r>
        <w:rPr>
          <w:rFonts w:hint="eastAsia" w:ascii="华文中宋" w:hAnsi="华文中宋" w:eastAsia="华文中宋"/>
        </w:rPr>
        <w:t>监督检查处理结果公告</w:t>
      </w:r>
      <w:bookmarkEnd w:id="0"/>
      <w:bookmarkEnd w:id="1"/>
    </w:p>
    <w:p>
      <w:pPr>
        <w:rPr>
          <w:rFonts w:ascii="黑体" w:hAnsi="黑体" w:eastAsia="黑体"/>
          <w:sz w:val="28"/>
          <w:szCs w:val="28"/>
        </w:rPr>
      </w:pPr>
      <w:r>
        <w:rPr>
          <w:rFonts w:hint="eastAsia" w:ascii="黑体" w:hAnsi="黑体" w:eastAsia="黑体"/>
          <w:sz w:val="28"/>
          <w:szCs w:val="28"/>
        </w:rPr>
        <w:t>一、项目编号：</w:t>
      </w:r>
      <w:r>
        <w:rPr>
          <w:rFonts w:hint="eastAsia" w:ascii="仿宋" w:hAnsi="仿宋" w:eastAsia="仿宋"/>
          <w:sz w:val="28"/>
          <w:szCs w:val="28"/>
          <w:u w:val="single"/>
        </w:rPr>
        <w:t>　靖鸿-YC2022-006-2</w:t>
      </w:r>
      <w:r>
        <w:rPr>
          <w:rFonts w:hint="eastAsia" w:ascii="仿宋" w:hAnsi="仿宋" w:eastAsia="仿宋"/>
          <w:sz w:val="28"/>
          <w:szCs w:val="28"/>
          <w:u w:val="single"/>
          <w:lang w:eastAsia="zh-CN"/>
        </w:rPr>
        <w:t>；靖鸿-YC2023-004-3-1；靖鸿-YC2023-003-1；靖鸿-YC2022-007-A-1；靖鸿-YC2022-011</w:t>
      </w:r>
      <w:r>
        <w:rPr>
          <w:rFonts w:hint="eastAsia" w:ascii="仿宋" w:hAnsi="仿宋" w:eastAsia="仿宋"/>
          <w:sz w:val="28"/>
          <w:szCs w:val="28"/>
          <w:u w:val="single"/>
        </w:rPr>
        <w:t>　　　</w:t>
      </w:r>
    </w:p>
    <w:p>
      <w:pPr>
        <w:rPr>
          <w:rFonts w:hint="default" w:ascii="仿宋" w:hAnsi="仿宋" w:eastAsia="仿宋"/>
          <w:sz w:val="28"/>
          <w:szCs w:val="28"/>
          <w:u w:val="single"/>
          <w:lang w:val="en-US" w:eastAsia="zh-CN"/>
        </w:rPr>
      </w:pPr>
      <w:r>
        <w:rPr>
          <w:rFonts w:hint="eastAsia" w:ascii="黑体" w:hAnsi="黑体" w:eastAsia="黑体"/>
          <w:sz w:val="28"/>
          <w:szCs w:val="28"/>
        </w:rPr>
        <w:t>二、项目名称：</w:t>
      </w:r>
      <w:r>
        <w:rPr>
          <w:rFonts w:hint="eastAsia" w:ascii="仿宋" w:hAnsi="仿宋" w:eastAsia="仿宋"/>
          <w:sz w:val="28"/>
          <w:szCs w:val="28"/>
          <w:u w:val="single"/>
        </w:rPr>
        <w:t>　宜春学院校本部中心配电房高压设备改造项目（第三次）</w:t>
      </w:r>
      <w:r>
        <w:rPr>
          <w:rFonts w:hint="eastAsia" w:ascii="仿宋" w:hAnsi="仿宋" w:eastAsia="仿宋"/>
          <w:sz w:val="28"/>
          <w:szCs w:val="28"/>
          <w:u w:val="single"/>
          <w:lang w:eastAsia="zh-CN"/>
        </w:rPr>
        <w:t>；宜春学院新校区采购项目一期网络设备项目（第三包）第二次；宜春职业技术学院校史馆采购项目(第二次）；宜春职业技术学院多功能教室建设项目（第一包）（第二次）；袁州区典型耕地土壤重金属污染成因排查项目</w:t>
      </w:r>
      <w:r>
        <w:rPr>
          <w:rFonts w:hint="eastAsia" w:ascii="仿宋" w:hAnsi="仿宋" w:eastAsia="仿宋"/>
          <w:sz w:val="28"/>
          <w:szCs w:val="28"/>
          <w:u w:val="single"/>
          <w:lang w:val="en-US" w:eastAsia="zh-CN"/>
        </w:rPr>
        <w:t xml:space="preserve">  </w:t>
      </w:r>
    </w:p>
    <w:p>
      <w:pPr>
        <w:rPr>
          <w:rFonts w:ascii="黑体" w:hAnsi="黑体" w:eastAsia="黑体"/>
          <w:sz w:val="28"/>
          <w:szCs w:val="28"/>
        </w:rPr>
      </w:pPr>
      <w:r>
        <w:rPr>
          <w:rFonts w:hint="eastAsia" w:ascii="黑体" w:hAnsi="黑体" w:eastAsia="黑体"/>
          <w:sz w:val="28"/>
          <w:szCs w:val="28"/>
        </w:rPr>
        <w:t>三、相关当事人</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sz w:val="28"/>
          <w:szCs w:val="28"/>
          <w:u w:val="single"/>
        </w:rPr>
      </w:pPr>
      <w:r>
        <w:rPr>
          <w:rFonts w:hint="eastAsia" w:ascii="仿宋" w:hAnsi="仿宋" w:eastAsia="仿宋"/>
          <w:sz w:val="28"/>
          <w:szCs w:val="28"/>
          <w:u w:val="single"/>
        </w:rPr>
        <w:t>当事人1：江西靖鸿工程咨询有限公司</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sz w:val="28"/>
          <w:szCs w:val="28"/>
          <w:u w:val="single"/>
        </w:rPr>
      </w:pPr>
      <w:r>
        <w:rPr>
          <w:rFonts w:hint="eastAsia" w:ascii="仿宋" w:hAnsi="仿宋" w:eastAsia="仿宋"/>
          <w:sz w:val="28"/>
          <w:szCs w:val="28"/>
          <w:u w:val="single"/>
        </w:rPr>
        <w:t>地址：江西省宜春经济技术开发区经发大道1号8栋1-2135室</w:t>
      </w:r>
    </w:p>
    <w:p>
      <w:pPr>
        <w:rPr>
          <w:rFonts w:ascii="黑体" w:hAnsi="黑体" w:eastAsia="黑体"/>
          <w:sz w:val="28"/>
          <w:szCs w:val="28"/>
        </w:rPr>
      </w:pPr>
      <w:r>
        <w:rPr>
          <w:rFonts w:hint="eastAsia" w:ascii="黑体" w:hAnsi="黑体" w:eastAsia="黑体"/>
          <w:sz w:val="28"/>
          <w:szCs w:val="28"/>
        </w:rPr>
        <w:t>四、基本情况</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在2023年政府采购领域“四类”违法违规行为专项整治工作中，经查，发现你公司代理的政府采购项目存在以下问题：</w:t>
      </w:r>
    </w:p>
    <w:p>
      <w:pPr>
        <w:ind w:firstLine="562" w:firstLineChars="200"/>
        <w:rPr>
          <w:rFonts w:hint="eastAsia" w:ascii="仿宋" w:hAnsi="仿宋" w:eastAsia="仿宋" w:cs="仿宋"/>
          <w:b/>
          <w:bCs/>
          <w:sz w:val="28"/>
          <w:szCs w:val="28"/>
          <w:u w:val="none"/>
        </w:rPr>
      </w:pPr>
      <w:r>
        <w:rPr>
          <w:rFonts w:hint="eastAsia" w:ascii="仿宋" w:hAnsi="仿宋" w:eastAsia="仿宋" w:cs="仿宋"/>
          <w:b/>
          <w:bCs/>
          <w:sz w:val="28"/>
          <w:szCs w:val="28"/>
          <w:u w:val="none"/>
        </w:rPr>
        <w:t>一、宜春学院校本部中心配电房高压设备改造项目（第三次）（靖鸿-YC2022-006-2）</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1.评审因素未细化量化。评分标准－技术评分“施工方案”、“临时供电计划”等，以“可行性高、内容完善、较完善、内容一般”等表述进行评审，没有明确的评分标准，未细化量化。违反《政府采购法实施条例》第三十四条、《政府采购货物和服务招标投标管理办法》（财政部令第87号）第五十五条第三款的规定。</w:t>
      </w:r>
    </w:p>
    <w:p>
      <w:pPr>
        <w:ind w:firstLine="562" w:firstLineChars="200"/>
        <w:rPr>
          <w:rFonts w:hint="eastAsia" w:ascii="仿宋" w:hAnsi="仿宋" w:eastAsia="仿宋" w:cs="仿宋"/>
          <w:b/>
          <w:bCs/>
          <w:sz w:val="28"/>
          <w:szCs w:val="28"/>
          <w:u w:val="none"/>
        </w:rPr>
      </w:pPr>
      <w:r>
        <w:rPr>
          <w:rFonts w:hint="eastAsia" w:ascii="仿宋" w:hAnsi="仿宋" w:eastAsia="仿宋" w:cs="仿宋"/>
          <w:b/>
          <w:bCs/>
          <w:sz w:val="28"/>
          <w:szCs w:val="28"/>
          <w:u w:val="none"/>
        </w:rPr>
        <w:t>二、宜春学院新校区采购项目一期网络设备项目（第三包）第二次（靖鸿-YC2023-004-3-1）</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2.设置差别歧视条款：商务评分以“所投UPS生产厂家需符合GB/T27922－2011《商品售后服务评价体系》标准和HXC-GZ-FW(ASS)商品售后服务谁实施规则的五星级要求”为评审因素，涉投标人规模条件。属于《政府采购法实施条例》第二十条第（八）项规定情形，违反《政府采购货物和服务招标投标管理办法》（财政部令第87号）第十七条的规定。</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3.评审因素设置与采购需求不对应。采购需求－商务要求“维修响应时间在2小时内赶到故障现场；4小时内解决故障”，评审因素－售后服务“免费保修期内，设备发生故障时，中标供应商在接到故障报告时应在1小时内作出响应，需要到达现场才能处理的故障必须在6小时内到达现场处理并提出解决意见，24小时内解决问题”。评审因素低于采购需求，相互不对应。违反《政府采购法实施条例》第三十四条、《政府采购货物和服务招标投标管理办法》（财政部令第87号）第五十五条第一款及第三款的规定。</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以上两个宜春学院项目，当事人陈述：项目基本服务要求；技术复杂、行业专业度高，采购人难以量化，采购需求写的内容不够细致。</w:t>
      </w:r>
    </w:p>
    <w:p>
      <w:pPr>
        <w:ind w:firstLine="562" w:firstLineChars="200"/>
        <w:rPr>
          <w:rFonts w:hint="eastAsia" w:ascii="仿宋" w:hAnsi="仿宋" w:eastAsia="仿宋" w:cs="仿宋"/>
          <w:b/>
          <w:bCs/>
          <w:sz w:val="28"/>
          <w:szCs w:val="28"/>
          <w:u w:val="none"/>
        </w:rPr>
      </w:pPr>
      <w:r>
        <w:rPr>
          <w:rFonts w:hint="eastAsia" w:ascii="仿宋" w:hAnsi="仿宋" w:eastAsia="仿宋" w:cs="仿宋"/>
          <w:b/>
          <w:bCs/>
          <w:sz w:val="28"/>
          <w:szCs w:val="28"/>
          <w:u w:val="none"/>
        </w:rPr>
        <w:t>三、宜春职业技术学院校史馆采购项目(第二次）（靖鸿-YC2023-003-1）</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4.设置差别歧视条款：商务评分“业绩”，以“投标人承担过高校校史馆项目业绩的”、“投标人承担过博物馆项目业绩的”为评审因素，以特定业绩为加分项。属于《政府采购法实施条例》第二十条第（四）项规定情形。</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5.评审因素未细化量化：评分标准-技术评分“布展方案”等，以“方案明确策划有创意、方案一般、方案不明确缺乏创意”等表述进行评审，没有明确的评分标准，未细化量化。违反《政府采购法实施条例》第三十四条、《政府采购货物和服务招标投标管理办法》（财政部令第87号）第五十五条第三款的规定。</w:t>
      </w:r>
    </w:p>
    <w:p>
      <w:pPr>
        <w:ind w:firstLine="562" w:firstLineChars="200"/>
        <w:rPr>
          <w:rFonts w:hint="eastAsia" w:ascii="仿宋" w:hAnsi="仿宋" w:eastAsia="仿宋" w:cs="仿宋"/>
          <w:b/>
          <w:bCs/>
          <w:sz w:val="28"/>
          <w:szCs w:val="28"/>
          <w:u w:val="none"/>
        </w:rPr>
      </w:pPr>
      <w:r>
        <w:rPr>
          <w:rFonts w:hint="eastAsia" w:ascii="仿宋" w:hAnsi="仿宋" w:eastAsia="仿宋" w:cs="仿宋"/>
          <w:b/>
          <w:bCs/>
          <w:sz w:val="28"/>
          <w:szCs w:val="28"/>
          <w:u w:val="none"/>
        </w:rPr>
        <w:t>四、宜春职业技术学院多功能教室建设项目（第一包）（第二次）（靖鸿-YC2022-007-A-1）</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6.评分标准设置不合理：商务评审-企业实力“全满足4个证书得3分，满足3个证书得1分，满足小于等2个证书得0.5分”，不提供证书没有评分标准。违反《政府采购法实施条例》第三十四条第五款、《政府采购货物和服务招标投标管理办法》（财政部令第87号）第二十条和第五十五条第二款的规定。</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以上两个宜春职业技术学院项目，当事人陈述：项目时间紧、任务重、标准高，要求投标人提供高校校史馆业绩是为了择优选取有经验的供应商，能在布展内容收集、筛选、整理、制作及方案撰写等方面提供专业指导。项目立项考察期间，曾到相关高职院校考察学习，提示务必寻求专业公司的合作，有的高校项目进展到一半停滞、有的中途换供应商。项目技术复杂、行业专业度高，采购人难以量化；评分中所提供的证书都有对应的评分点，不提供证书应当理解为不得分。</w:t>
      </w:r>
    </w:p>
    <w:p>
      <w:pPr>
        <w:ind w:firstLine="562" w:firstLineChars="200"/>
        <w:rPr>
          <w:rFonts w:hint="eastAsia" w:ascii="仿宋" w:hAnsi="仿宋" w:eastAsia="仿宋" w:cs="仿宋"/>
          <w:b/>
          <w:bCs/>
          <w:sz w:val="28"/>
          <w:szCs w:val="28"/>
          <w:u w:val="none"/>
        </w:rPr>
      </w:pPr>
      <w:r>
        <w:rPr>
          <w:rFonts w:hint="eastAsia" w:ascii="仿宋" w:hAnsi="仿宋" w:eastAsia="仿宋" w:cs="仿宋"/>
          <w:b/>
          <w:bCs/>
          <w:sz w:val="28"/>
          <w:szCs w:val="28"/>
          <w:u w:val="none"/>
        </w:rPr>
        <w:t>五、袁州区典型耕地土壤重金属污染成因排查项目（靖鸿-YC2022-011）</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7.评审因素未细化量化：评分标准－技术部分“技术方案”，以“理解深刻、理解程序简单、内容不齐全混乱”等表述进行评审，没有明确的评分标准，未细化量化，违反《政府采购法实施条例》第三十四条第四款、《政府采购货物和服务招标投标管理办法》（财政部令第87号）第五十五条第三款的规定。</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8.设置差别歧视条款：商务评审因素“投标人拟派项目负责人或项目组成员承担过省级及以上土壤污染防治工作相关规划、方案及行动计划制定”，限定供应商。违反《政府采购法实施条例》第二十条第（六）项的规定。</w:t>
      </w:r>
    </w:p>
    <w:p>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调查中，采购人陈述：项目技术复杂、行业专业度高，难以量化方案，每项内容设置了三个等级，每个等级有相应的分值，评审专家可以根据投标文件对比评定相应等级进行评分；本项目在袁州区选择耕地典型污染地区开展重金属污染成因排查，提出耕地污染源头管控对策建议，对于企业实力有客观需求，承担过省级及以上土壤污染防治工作相关工作人员有多人可以达到此要求，不存在限定供应商。</w:t>
      </w:r>
    </w:p>
    <w:p>
      <w:pPr>
        <w:ind w:firstLine="560" w:firstLineChars="200"/>
        <w:rPr>
          <w:rFonts w:hint="eastAsia" w:ascii="黑体" w:hAnsi="黑体" w:eastAsia="黑体" w:cs="黑体"/>
          <w:sz w:val="28"/>
          <w:szCs w:val="28"/>
          <w:u w:val="none"/>
        </w:rPr>
      </w:pPr>
      <w:bookmarkStart w:id="2" w:name="_GoBack"/>
      <w:r>
        <w:rPr>
          <w:rFonts w:hint="eastAsia" w:ascii="黑体" w:hAnsi="黑体" w:eastAsia="黑体" w:cs="黑体"/>
          <w:sz w:val="28"/>
          <w:szCs w:val="28"/>
          <w:u w:val="none"/>
          <w:lang w:val="en-US" w:eastAsia="zh-CN"/>
        </w:rPr>
        <w:t>五</w:t>
      </w:r>
      <w:r>
        <w:rPr>
          <w:rFonts w:hint="eastAsia" w:ascii="黑体" w:hAnsi="黑体" w:eastAsia="黑体" w:cs="黑体"/>
          <w:sz w:val="28"/>
          <w:szCs w:val="28"/>
          <w:u w:val="none"/>
        </w:rPr>
        <w:t>、处理依据及结果</w:t>
      </w:r>
    </w:p>
    <w:bookmarkEnd w:id="2"/>
    <w:p>
      <w:pPr>
        <w:ind w:firstLine="560" w:firstLineChars="200"/>
        <w:rPr>
          <w:rFonts w:ascii="黑体" w:hAnsi="黑体" w:eastAsia="黑体" w:cs="仿宋"/>
          <w:sz w:val="28"/>
          <w:szCs w:val="28"/>
        </w:rPr>
      </w:pPr>
      <w:r>
        <w:rPr>
          <w:rFonts w:hint="eastAsia" w:ascii="仿宋" w:hAnsi="仿宋" w:eastAsia="仿宋" w:cs="仿宋"/>
          <w:sz w:val="28"/>
          <w:szCs w:val="28"/>
          <w:u w:val="none"/>
        </w:rPr>
        <w:t>鉴于以上项目采购需求有其客观要求，未显示当事人存在主观故意。依据《政府采购法》第七十一条第一款第（三）项，《政府采购法实施条例》第六十八条第一款第（三）项、第（七）项，以及《政府采购货物和服务招标投标管理办法》（财政部令第87号）第七十七条第一款第（一）项的规定，本机关决定：责令江西靖鸿工程咨询有限公司限期改正；责令该机构按照《政府采购法实施条例》第十三条等规定要求，加强内部监督管理，切实提高政府采购代理业务能力，为政府采购当事人提供高质量代理服务，依法规范开展政府采购活动。</w:t>
      </w:r>
      <w:r>
        <w:rPr>
          <w:rFonts w:ascii="黑体" w:hAnsi="黑体" w:eastAsia="黑体" w:cs="仿宋"/>
          <w:sz w:val="28"/>
          <w:szCs w:val="28"/>
        </w:rPr>
        <w:t>六</w:t>
      </w:r>
      <w:r>
        <w:rPr>
          <w:rFonts w:hint="eastAsia" w:ascii="黑体" w:hAnsi="黑体" w:eastAsia="黑体" w:cs="仿宋"/>
          <w:sz w:val="28"/>
          <w:szCs w:val="28"/>
        </w:rPr>
        <w:t>、其他补充事宜</w:t>
      </w:r>
    </w:p>
    <w:p>
      <w:pPr>
        <w:ind w:firstLine="560" w:firstLineChars="200"/>
        <w:rPr>
          <w:rFonts w:hint="eastAsia" w:ascii="仿宋" w:hAnsi="仿宋" w:eastAsia="仿宋"/>
          <w:sz w:val="28"/>
          <w:szCs w:val="28"/>
          <w:u w:val="none"/>
        </w:rPr>
      </w:pPr>
      <w:r>
        <w:rPr>
          <w:rFonts w:hint="eastAsia" w:ascii="仿宋" w:hAnsi="仿宋" w:eastAsia="仿宋"/>
          <w:sz w:val="28"/>
          <w:szCs w:val="28"/>
          <w:u w:val="none"/>
        </w:rPr>
        <w:t>当事人如不服本处理决定，可在收到本处理决定书之日起60日内向宜春市人民政府申请行政复议或者在6个月内直接向上高县人民法院提起行政诉讼。</w:t>
      </w:r>
    </w:p>
    <w:p>
      <w:pPr>
        <w:ind w:firstLine="560" w:firstLineChars="200"/>
        <w:rPr>
          <w:rFonts w:hint="eastAsia" w:ascii="仿宋" w:hAnsi="仿宋" w:eastAsia="仿宋"/>
          <w:sz w:val="28"/>
          <w:szCs w:val="28"/>
          <w:u w:val="none"/>
        </w:rPr>
      </w:pPr>
    </w:p>
    <w:p>
      <w:pPr>
        <w:widowControl/>
        <w:ind w:right="300"/>
        <w:jc w:val="center"/>
        <w:rPr>
          <w:rFonts w:hint="default" w:ascii="仿宋" w:hAnsi="仿宋" w:eastAsia="仿宋"/>
          <w:sz w:val="28"/>
          <w:szCs w:val="28"/>
          <w:lang w:val="en-US" w:eastAsia="zh-CN"/>
        </w:rPr>
      </w:pPr>
      <w:r>
        <w:rPr>
          <w:rFonts w:hint="eastAsia" w:ascii="仿宋" w:hAnsi="仿宋" w:eastAsia="仿宋"/>
          <w:sz w:val="28"/>
          <w:szCs w:val="28"/>
          <w:lang w:val="en-US" w:eastAsia="zh-CN"/>
        </w:rPr>
        <w:t xml:space="preserve">                                         宜春市财政局</w:t>
      </w:r>
    </w:p>
    <w:p>
      <w:pPr>
        <w:widowControl/>
        <w:ind w:right="300"/>
        <w:jc w:val="right"/>
      </w:pPr>
      <w:r>
        <w:rPr>
          <w:rFonts w:hint="eastAsia" w:ascii="仿宋" w:hAnsi="仿宋" w:eastAsia="仿宋"/>
          <w:sz w:val="28"/>
          <w:szCs w:val="28"/>
          <w:lang w:val="en-US" w:eastAsia="zh-CN"/>
        </w:rPr>
        <w:t>2024</w:t>
      </w:r>
      <w:r>
        <w:rPr>
          <w:rFonts w:hint="eastAsia" w:ascii="仿宋" w:hAnsi="仿宋" w:eastAsia="仿宋"/>
          <w:sz w:val="28"/>
          <w:szCs w:val="28"/>
        </w:rPr>
        <w:t>年</w:t>
      </w:r>
      <w:r>
        <w:rPr>
          <w:rFonts w:hint="eastAsia" w:ascii="仿宋" w:hAnsi="仿宋" w:eastAsia="仿宋"/>
          <w:sz w:val="28"/>
          <w:szCs w:val="28"/>
          <w:lang w:val="en-US" w:eastAsia="zh-CN"/>
        </w:rPr>
        <w:t>5</w:t>
      </w:r>
      <w:r>
        <w:rPr>
          <w:rFonts w:hint="eastAsia" w:ascii="仿宋" w:hAnsi="仿宋" w:eastAsia="仿宋"/>
          <w:sz w:val="28"/>
          <w:szCs w:val="28"/>
        </w:rPr>
        <w:t>月</w:t>
      </w:r>
      <w:r>
        <w:rPr>
          <w:rFonts w:hint="eastAsia" w:ascii="仿宋" w:hAnsi="仿宋" w:eastAsia="仿宋"/>
          <w:sz w:val="28"/>
          <w:szCs w:val="28"/>
          <w:lang w:val="en-US" w:eastAsia="zh-CN"/>
        </w:rPr>
        <w:t>13</w:t>
      </w:r>
      <w:r>
        <w:rPr>
          <w:rFonts w:hint="eastAsia" w:ascii="仿宋" w:hAnsi="仿宋" w:eastAsia="仿宋"/>
          <w:sz w:val="28"/>
          <w:szCs w:val="28"/>
        </w:rPr>
        <w:t>日</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彩云">
    <w:panose1 w:val="02010800040101010101"/>
    <w:charset w:val="86"/>
    <w:family w:val="auto"/>
    <w:pitch w:val="default"/>
    <w:sig w:usb0="00000001" w:usb1="080F0000" w:usb2="00000000" w:usb3="00000000" w:csb0="00040000" w:csb1="00000000"/>
  </w:font>
  <w:font w:name="微软雅黑 Light">
    <w:panose1 w:val="020B0502040204020203"/>
    <w:charset w:val="86"/>
    <w:family w:val="auto"/>
    <w:pitch w:val="default"/>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9663037"/>
    </w:sdtPr>
    <w:sdtContent>
      <w:p>
        <w:pPr>
          <w:pStyle w:val="9"/>
          <w:jc w:val="center"/>
        </w:pPr>
        <w:r>
          <w:fldChar w:fldCharType="begin"/>
        </w:r>
        <w:r>
          <w:instrText xml:space="preserve">PAGE   \* MERGEFORMAT</w:instrText>
        </w:r>
        <w:r>
          <w:fldChar w:fldCharType="separate"/>
        </w:r>
        <w:r>
          <w:rPr>
            <w:lang w:val="zh-CN"/>
          </w:rPr>
          <w:t>1</w:t>
        </w:r>
        <w:r>
          <w:fldChar w:fldCharType="end"/>
        </w:r>
      </w:p>
    </w:sdtContent>
  </w:sdt>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jYzY1YjA5MjM4ZWI5ZWY0MWFiYjFiNzE2MmJhYTAifQ=="/>
  </w:docVars>
  <w:rsids>
    <w:rsidRoot w:val="00244094"/>
    <w:rsid w:val="000312DE"/>
    <w:rsid w:val="0005737B"/>
    <w:rsid w:val="000726D8"/>
    <w:rsid w:val="000A6769"/>
    <w:rsid w:val="000D3B95"/>
    <w:rsid w:val="000D5040"/>
    <w:rsid w:val="000D6508"/>
    <w:rsid w:val="00110BD8"/>
    <w:rsid w:val="00151C8B"/>
    <w:rsid w:val="00244094"/>
    <w:rsid w:val="00246690"/>
    <w:rsid w:val="002F4172"/>
    <w:rsid w:val="00322E12"/>
    <w:rsid w:val="003D04C7"/>
    <w:rsid w:val="00430D5D"/>
    <w:rsid w:val="00445621"/>
    <w:rsid w:val="004B0417"/>
    <w:rsid w:val="004F0CA3"/>
    <w:rsid w:val="004F449A"/>
    <w:rsid w:val="005902A4"/>
    <w:rsid w:val="006939FC"/>
    <w:rsid w:val="0079663A"/>
    <w:rsid w:val="007E2D83"/>
    <w:rsid w:val="0080774A"/>
    <w:rsid w:val="00877C6E"/>
    <w:rsid w:val="008974EE"/>
    <w:rsid w:val="008A1192"/>
    <w:rsid w:val="008A2FE7"/>
    <w:rsid w:val="0090581E"/>
    <w:rsid w:val="00966F02"/>
    <w:rsid w:val="009A15C7"/>
    <w:rsid w:val="00A30F31"/>
    <w:rsid w:val="00A3374C"/>
    <w:rsid w:val="00C37A88"/>
    <w:rsid w:val="00C52F06"/>
    <w:rsid w:val="00C61BBE"/>
    <w:rsid w:val="00C95981"/>
    <w:rsid w:val="00D26832"/>
    <w:rsid w:val="00DA7067"/>
    <w:rsid w:val="00DC09FA"/>
    <w:rsid w:val="00E457B7"/>
    <w:rsid w:val="00E702D6"/>
    <w:rsid w:val="00E75E92"/>
    <w:rsid w:val="00ED7C2A"/>
    <w:rsid w:val="00EE3266"/>
    <w:rsid w:val="00F53A4B"/>
    <w:rsid w:val="037564FF"/>
    <w:rsid w:val="0BAF1EF1"/>
    <w:rsid w:val="217C6D52"/>
    <w:rsid w:val="391D1F38"/>
    <w:rsid w:val="3A6305DE"/>
    <w:rsid w:val="572B6763"/>
    <w:rsid w:val="60964FF0"/>
    <w:rsid w:val="6FA37B33"/>
    <w:rsid w:val="735633A3"/>
    <w:rsid w:val="780A11F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23"/>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4"/>
    <w:qFormat/>
    <w:uiPriority w:val="0"/>
    <w:pPr>
      <w:keepNext/>
      <w:keepLines/>
      <w:spacing w:before="260" w:after="260" w:line="415" w:lineRule="auto"/>
      <w:outlineLvl w:val="1"/>
    </w:pPr>
    <w:rPr>
      <w:rFonts w:ascii="Arial" w:hAnsi="Arial" w:eastAsia="黑体" w:cs="Arial"/>
      <w:b/>
      <w:bCs/>
      <w:sz w:val="32"/>
      <w:szCs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25"/>
    <w:semiHidden/>
    <w:unhideWhenUsed/>
    <w:qFormat/>
    <w:uiPriority w:val="99"/>
    <w:pPr>
      <w:jc w:val="left"/>
    </w:pPr>
  </w:style>
  <w:style w:type="paragraph" w:styleId="5">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6">
    <w:name w:val="Plain Text"/>
    <w:basedOn w:val="1"/>
    <w:link w:val="26"/>
    <w:qFormat/>
    <w:uiPriority w:val="0"/>
    <w:rPr>
      <w:rFonts w:ascii="宋体" w:hAnsi="Courier New" w:eastAsiaTheme="minorEastAsia" w:cstheme="minorBidi"/>
      <w:szCs w:val="22"/>
    </w:rPr>
  </w:style>
  <w:style w:type="paragraph" w:styleId="7">
    <w:name w:val="Date"/>
    <w:basedOn w:val="1"/>
    <w:next w:val="1"/>
    <w:link w:val="27"/>
    <w:autoRedefine/>
    <w:qFormat/>
    <w:uiPriority w:val="0"/>
    <w:pPr>
      <w:adjustRightInd w:val="0"/>
      <w:spacing w:line="360" w:lineRule="atLeast"/>
      <w:textAlignment w:val="baseline"/>
    </w:pPr>
    <w:rPr>
      <w:rFonts w:ascii="宋体" w:cs="宋体"/>
      <w:kern w:val="0"/>
      <w:sz w:val="24"/>
      <w:szCs w:val="24"/>
    </w:rPr>
  </w:style>
  <w:style w:type="paragraph" w:styleId="8">
    <w:name w:val="Balloon Text"/>
    <w:basedOn w:val="1"/>
    <w:link w:val="28"/>
    <w:semiHidden/>
    <w:unhideWhenUsed/>
    <w:qFormat/>
    <w:uiPriority w:val="99"/>
    <w:rPr>
      <w:sz w:val="18"/>
      <w:szCs w:val="18"/>
    </w:rPr>
  </w:style>
  <w:style w:type="paragraph" w:styleId="9">
    <w:name w:val="footer"/>
    <w:basedOn w:val="1"/>
    <w:link w:val="22"/>
    <w:autoRedefine/>
    <w:unhideWhenUsed/>
    <w:qFormat/>
    <w:uiPriority w:val="99"/>
    <w:pPr>
      <w:tabs>
        <w:tab w:val="center" w:pos="4153"/>
        <w:tab w:val="right" w:pos="8306"/>
      </w:tabs>
      <w:snapToGrid w:val="0"/>
      <w:jc w:val="left"/>
    </w:pPr>
    <w:rPr>
      <w:sz w:val="18"/>
      <w:szCs w:val="18"/>
    </w:rPr>
  </w:style>
  <w:style w:type="paragraph" w:styleId="10">
    <w:name w:val="header"/>
    <w:basedOn w:val="1"/>
    <w:link w:val="2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autoRedefine/>
    <w:unhideWhenUsed/>
    <w:qFormat/>
    <w:uiPriority w:val="39"/>
    <w:pPr>
      <w:widowControl/>
      <w:spacing w:after="100" w:line="259" w:lineRule="auto"/>
      <w:jc w:val="left"/>
    </w:pPr>
    <w:rPr>
      <w:rFonts w:asciiTheme="minorHAnsi" w:hAnsiTheme="minorHAnsi" w:eastAsiaTheme="minorEastAsia"/>
      <w:kern w:val="0"/>
      <w:sz w:val="22"/>
      <w:szCs w:val="22"/>
    </w:rPr>
  </w:style>
  <w:style w:type="paragraph" w:styleId="12">
    <w:name w:val="toc 2"/>
    <w:basedOn w:val="1"/>
    <w:next w:val="1"/>
    <w:autoRedefine/>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13">
    <w:name w:val="Body Text 2"/>
    <w:basedOn w:val="1"/>
    <w:link w:val="29"/>
    <w:qFormat/>
    <w:uiPriority w:val="0"/>
    <w:pPr>
      <w:spacing w:after="120" w:line="480" w:lineRule="auto"/>
    </w:pPr>
  </w:style>
  <w:style w:type="paragraph" w:styleId="14">
    <w:name w:val="Normal (Web)"/>
    <w:basedOn w:val="1"/>
    <w:autoRedefine/>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15">
    <w:name w:val="annotation subject"/>
    <w:basedOn w:val="4"/>
    <w:next w:val="4"/>
    <w:link w:val="30"/>
    <w:autoRedefine/>
    <w:semiHidden/>
    <w:unhideWhenUsed/>
    <w:qFormat/>
    <w:uiPriority w:val="99"/>
    <w:rPr>
      <w:b/>
      <w:bCs/>
    </w:rPr>
  </w:style>
  <w:style w:type="table" w:styleId="17">
    <w:name w:val="Table Grid"/>
    <w:basedOn w:val="1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Hyperlink"/>
    <w:basedOn w:val="18"/>
    <w:unhideWhenUsed/>
    <w:qFormat/>
    <w:uiPriority w:val="99"/>
    <w:rPr>
      <w:color w:val="0000FF" w:themeColor="hyperlink"/>
      <w:u w:val="single"/>
      <w14:textFill>
        <w14:solidFill>
          <w14:schemeClr w14:val="hlink"/>
        </w14:solidFill>
      </w14:textFill>
    </w:rPr>
  </w:style>
  <w:style w:type="character" w:styleId="20">
    <w:name w:val="annotation reference"/>
    <w:basedOn w:val="18"/>
    <w:autoRedefine/>
    <w:semiHidden/>
    <w:unhideWhenUsed/>
    <w:qFormat/>
    <w:uiPriority w:val="99"/>
    <w:rPr>
      <w:sz w:val="21"/>
      <w:szCs w:val="21"/>
    </w:rPr>
  </w:style>
  <w:style w:type="character" w:customStyle="1" w:styleId="21">
    <w:name w:val="页眉 Char"/>
    <w:basedOn w:val="18"/>
    <w:link w:val="10"/>
    <w:qFormat/>
    <w:uiPriority w:val="99"/>
    <w:rPr>
      <w:sz w:val="18"/>
      <w:szCs w:val="18"/>
    </w:rPr>
  </w:style>
  <w:style w:type="character" w:customStyle="1" w:styleId="22">
    <w:name w:val="页脚 Char"/>
    <w:basedOn w:val="18"/>
    <w:link w:val="9"/>
    <w:qFormat/>
    <w:uiPriority w:val="99"/>
    <w:rPr>
      <w:sz w:val="18"/>
      <w:szCs w:val="18"/>
    </w:rPr>
  </w:style>
  <w:style w:type="character" w:customStyle="1" w:styleId="23">
    <w:name w:val="标题 1 Char"/>
    <w:basedOn w:val="18"/>
    <w:link w:val="2"/>
    <w:autoRedefine/>
    <w:qFormat/>
    <w:uiPriority w:val="9"/>
    <w:rPr>
      <w:rFonts w:ascii="Times New Roman" w:hAnsi="Times New Roman" w:eastAsia="宋体" w:cs="Times New Roman"/>
      <w:b/>
      <w:bCs/>
      <w:kern w:val="44"/>
      <w:sz w:val="44"/>
      <w:szCs w:val="44"/>
    </w:rPr>
  </w:style>
  <w:style w:type="character" w:customStyle="1" w:styleId="24">
    <w:name w:val="标题 2 Char"/>
    <w:basedOn w:val="18"/>
    <w:link w:val="3"/>
    <w:qFormat/>
    <w:uiPriority w:val="0"/>
    <w:rPr>
      <w:rFonts w:ascii="Arial" w:hAnsi="Arial" w:eastAsia="黑体" w:cs="Arial"/>
      <w:b/>
      <w:bCs/>
      <w:sz w:val="32"/>
      <w:szCs w:val="32"/>
    </w:rPr>
  </w:style>
  <w:style w:type="character" w:customStyle="1" w:styleId="25">
    <w:name w:val="批注文字 Char"/>
    <w:basedOn w:val="18"/>
    <w:link w:val="4"/>
    <w:semiHidden/>
    <w:qFormat/>
    <w:uiPriority w:val="99"/>
    <w:rPr>
      <w:rFonts w:ascii="Times New Roman" w:hAnsi="Times New Roman" w:eastAsia="宋体" w:cs="Times New Roman"/>
      <w:szCs w:val="21"/>
    </w:rPr>
  </w:style>
  <w:style w:type="character" w:customStyle="1" w:styleId="26">
    <w:name w:val="纯文本 Char"/>
    <w:basedOn w:val="18"/>
    <w:link w:val="6"/>
    <w:qFormat/>
    <w:uiPriority w:val="0"/>
    <w:rPr>
      <w:rFonts w:ascii="宋体" w:hAnsi="Courier New"/>
    </w:rPr>
  </w:style>
  <w:style w:type="character" w:customStyle="1" w:styleId="27">
    <w:name w:val="日期 Char"/>
    <w:basedOn w:val="18"/>
    <w:link w:val="7"/>
    <w:autoRedefine/>
    <w:qFormat/>
    <w:uiPriority w:val="0"/>
    <w:rPr>
      <w:rFonts w:ascii="宋体" w:hAnsi="Times New Roman" w:eastAsia="宋体" w:cs="宋体"/>
      <w:kern w:val="0"/>
      <w:sz w:val="24"/>
      <w:szCs w:val="24"/>
    </w:rPr>
  </w:style>
  <w:style w:type="character" w:customStyle="1" w:styleId="28">
    <w:name w:val="批注框文本 Char"/>
    <w:basedOn w:val="18"/>
    <w:link w:val="8"/>
    <w:semiHidden/>
    <w:qFormat/>
    <w:uiPriority w:val="99"/>
    <w:rPr>
      <w:rFonts w:ascii="Times New Roman" w:hAnsi="Times New Roman" w:eastAsia="宋体" w:cs="Times New Roman"/>
      <w:sz w:val="18"/>
      <w:szCs w:val="18"/>
    </w:rPr>
  </w:style>
  <w:style w:type="character" w:customStyle="1" w:styleId="29">
    <w:name w:val="正文文本 2 Char"/>
    <w:basedOn w:val="18"/>
    <w:link w:val="13"/>
    <w:qFormat/>
    <w:uiPriority w:val="0"/>
    <w:rPr>
      <w:rFonts w:ascii="Times New Roman" w:hAnsi="Times New Roman" w:eastAsia="宋体" w:cs="Times New Roman"/>
      <w:szCs w:val="21"/>
    </w:rPr>
  </w:style>
  <w:style w:type="character" w:customStyle="1" w:styleId="30">
    <w:name w:val="批注主题 Char"/>
    <w:basedOn w:val="25"/>
    <w:link w:val="15"/>
    <w:semiHidden/>
    <w:qFormat/>
    <w:uiPriority w:val="99"/>
    <w:rPr>
      <w:rFonts w:ascii="Times New Roman" w:hAnsi="Times New Roman" w:eastAsia="宋体" w:cs="Times New Roman"/>
      <w:b/>
      <w:bCs/>
      <w:szCs w:val="21"/>
    </w:rPr>
  </w:style>
  <w:style w:type="character" w:customStyle="1" w:styleId="31">
    <w:name w:val="纯文本 字符"/>
    <w:basedOn w:val="18"/>
    <w:semiHidden/>
    <w:qFormat/>
    <w:uiPriority w:val="99"/>
    <w:rPr>
      <w:rFonts w:hAnsi="Courier New" w:cs="Courier New" w:asciiTheme="minorEastAsia"/>
      <w:szCs w:val="21"/>
    </w:rPr>
  </w:style>
  <w:style w:type="paragraph" w:styleId="32">
    <w:name w:val="List Paragraph"/>
    <w:basedOn w:val="1"/>
    <w:autoRedefine/>
    <w:qFormat/>
    <w:uiPriority w:val="34"/>
    <w:pPr>
      <w:ind w:firstLine="420" w:firstLineChars="200"/>
    </w:pPr>
  </w:style>
  <w:style w:type="paragraph" w:customStyle="1" w:styleId="33">
    <w:name w:val="修订1"/>
    <w:autoRedefine/>
    <w:hidden/>
    <w:semiHidden/>
    <w:qFormat/>
    <w:uiPriority w:val="99"/>
    <w:rPr>
      <w:rFonts w:ascii="Times New Roman" w:hAnsi="Times New Roman" w:eastAsia="宋体" w:cs="Times New Roman"/>
      <w:kern w:val="2"/>
      <w:sz w:val="21"/>
      <w:szCs w:val="21"/>
      <w:lang w:val="en-US" w:eastAsia="zh-CN" w:bidi="ar-SA"/>
    </w:rPr>
  </w:style>
  <w:style w:type="paragraph" w:customStyle="1" w:styleId="34">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35">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6">
    <w:name w:val="qowt-font10-gbk"/>
    <w:basedOn w:val="18"/>
    <w:autoRedefine/>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5</Pages>
  <Words>4436</Words>
  <Characters>4541</Characters>
  <Lines>57</Lines>
  <Paragraphs>16</Paragraphs>
  <TotalTime>12</TotalTime>
  <ScaleCrop>false</ScaleCrop>
  <LinksUpToDate>false</LinksUpToDate>
  <CharactersWithSpaces>4613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2020-03-18T03:22:00Z</dcterms:created>
  <dc:creator>赵璧</dc:creator>
  <cp:lastModifiedBy>Chen</cp:lastModifiedBy>
  <cp:lastPrinted>2020-03-23T07:37:00Z</cp:lastPrinted>
  <dcterms:modified xsi:type="dcterms:W3CDTF">2024-05-17T02:16:38Z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386B5C23F6E247878AAA2D43846E789E_13</vt:lpwstr>
  </property>
</Properties>
</file>